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C12F20" w:rsidRPr="00173212" w:rsidTr="00F45512">
        <w:trPr>
          <w:trHeight w:val="1407"/>
        </w:trPr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1678FA" w:rsidRDefault="006F1292" w:rsidP="001678F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hyperlink r:id="rId5" w:history="1">
              <w:r w:rsidR="001678FA" w:rsidRPr="001678FA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  <w:shd w:val="clear" w:color="auto" w:fill="FFFFFF"/>
                  <w:lang w:val="uk-UA"/>
                </w:rPr>
                <w:t>Відновлення асфальтобетонного покриття у місцях заміни ділянок теплових мереж</w:t>
              </w:r>
              <w:r w:rsidR="00E11A18" w:rsidRPr="001678FA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»</w:t>
              </w:r>
            </w:hyperlink>
            <w:r w:rsidR="001678FA" w:rsidRPr="001678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, </w:t>
            </w:r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код за ДК 021:2015 «45230000-8»  Будівництво трубопроводів, ліній зв’язку та </w:t>
            </w:r>
            <w:proofErr w:type="spellStart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електропередач</w:t>
            </w:r>
            <w:proofErr w:type="spellEnd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 шосе, доріг, аеродромів і залізничних доріг; вирівнювання поверхонь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F45512" w:rsidP="001732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45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UA-2021-</w:t>
            </w:r>
            <w:r w:rsidR="00173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12-17-012999</w:t>
            </w:r>
            <w:r w:rsidRPr="00F45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1678FA" w:rsidP="001678FA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4 62</w:t>
            </w:r>
            <w:r w:rsidR="00E11A18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0 000,0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0A4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6176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ст.34 п.1 Закону України «Про благоустрій населених пунктів», правила розробляються на підставі</w:t>
            </w:r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n13" w:tgtFrame="_blank" w:history="1">
              <w:r w:rsidRPr="005A6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Типових правил благоустрою території населеного пункту</w:t>
              </w:r>
            </w:hyperlink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всіх сіл, селищ, міст і затверджуються відповідними органами місцевого</w:t>
            </w:r>
            <w:r w:rsidRPr="005A6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самоврядування. Також у ст.20 п.4 зазначається, що рішення місцевих органів виконавчої влади та органів місцевого самоврядування щодо благоустрою території певного населеного пункту є обов'язковим для виконання розміщеними на цій території підприємствами, установами, організаціями та громадянами, які на ній проживають.</w:t>
            </w:r>
          </w:p>
          <w:p w:rsidR="00720A42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чином, згідно п.5.11 Правил благоустрою в місті Кривому Розі,  затверджених Рішенням Криворізької Міської Ради №4038 від 21.10.2015р., Підприємства, установи та організації на земельних ділянках, наданих їм на праві власності чи користування, закріпленій території за укладеними договорами з балансоутримувачем, присадибних ділянках зобов’язані виконувати земляні роботи з ліквідації пошкоджень на інженерних мережах тільки після отримання дозволу та в строки, визначені в ньому, з обов’язковим відновленням асфальтового покриття та/або газону.</w:t>
            </w:r>
          </w:p>
          <w:p w:rsidR="00291FB2" w:rsidRPr="00D63AA9" w:rsidRDefault="00720A42" w:rsidP="00720A42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оголошенні закупівлі також враховано вимоги </w:t>
            </w:r>
            <w:r w:rsidRPr="00720A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таблиці 20.2а ДБН В.2.3-4:2015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1FB2" w:rsidRPr="0017321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D63AA9" w:rsidRPr="001678FA" w:rsidRDefault="00322932" w:rsidP="00173212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виходячи із отриманих комерційних </w:t>
            </w:r>
            <w:r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</w:t>
            </w:r>
            <w:r w:rsidR="00E11A18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E09CA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враховуючи, що</w:t>
            </w:r>
            <w:r w:rsidR="00C02B29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оголошена на умовах </w:t>
            </w:r>
            <w:r w:rsidR="001678FA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73212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протягом 20 календарних днів з дати підписання акту виконаних робіт.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1678FA"/>
    <w:rsid w:val="00173212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A6176"/>
    <w:rsid w:val="0061116A"/>
    <w:rsid w:val="006F1292"/>
    <w:rsid w:val="00720A42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1A18"/>
    <w:rsid w:val="00E1434D"/>
    <w:rsid w:val="00E83ED3"/>
    <w:rsid w:val="00E96B6E"/>
    <w:rsid w:val="00EC2DBD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  <w:style w:type="character" w:customStyle="1" w:styleId="zk-definition-listitem-text">
    <w:name w:val="zk-definition-list__item-text"/>
    <w:basedOn w:val="a0"/>
    <w:rsid w:val="001678FA"/>
  </w:style>
  <w:style w:type="character" w:customStyle="1" w:styleId="tendertuid2nhc4">
    <w:name w:val="tender__tuid__2nhc4"/>
    <w:basedOn w:val="a0"/>
    <w:rsid w:val="00F4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529-17" TargetMode="External"/><Relationship Id="rId5" Type="http://schemas.openxmlformats.org/officeDocument/2006/relationships/hyperlink" Target="https://my.zakupki.prom.ua/cabinet/purchases/state_purchase/view/288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2022-06-15T05:53:00Z</dcterms:created>
  <dcterms:modified xsi:type="dcterms:W3CDTF">2022-06-15T05:53:00Z</dcterms:modified>
</cp:coreProperties>
</file>