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49"/>
        <w:gridCol w:w="6596"/>
      </w:tblGrid>
      <w:tr w:rsidR="00C12F20" w:rsidRPr="00B4353B" w:rsidTr="00C12F20">
        <w:tc>
          <w:tcPr>
            <w:tcW w:w="2802" w:type="dxa"/>
          </w:tcPr>
          <w:p w:rsidR="00C12F20" w:rsidRPr="00B4353B" w:rsidRDefault="00C12F20">
            <w:pPr>
              <w:rPr>
                <w:rFonts w:ascii="Times New Roman" w:hAnsi="Times New Roman" w:cs="Times New Roman"/>
                <w:sz w:val="24"/>
                <w:szCs w:val="24"/>
                <w:lang w:val="uk-UA"/>
              </w:rPr>
            </w:pPr>
            <w:bookmarkStart w:id="0" w:name="_GoBack"/>
            <w:bookmarkEnd w:id="0"/>
            <w:r w:rsidRPr="00B4353B">
              <w:rPr>
                <w:rFonts w:ascii="Times New Roman" w:hAnsi="Times New Roman" w:cs="Times New Roman"/>
                <w:sz w:val="24"/>
                <w:szCs w:val="24"/>
                <w:lang w:val="uk-UA"/>
              </w:rPr>
              <w:t>Назва предмету закупівлі</w:t>
            </w:r>
          </w:p>
        </w:tc>
        <w:tc>
          <w:tcPr>
            <w:tcW w:w="6769" w:type="dxa"/>
          </w:tcPr>
          <w:p w:rsidR="00207306" w:rsidRPr="00B4353B" w:rsidRDefault="00EE3FDE" w:rsidP="00EE3FDE">
            <w:pPr>
              <w:pStyle w:val="1"/>
              <w:shd w:val="clear" w:color="auto" w:fill="FFFFFF"/>
              <w:spacing w:before="0" w:beforeAutospacing="0" w:after="0" w:afterAutospacing="0"/>
              <w:textAlignment w:val="baseline"/>
              <w:outlineLvl w:val="0"/>
              <w:rPr>
                <w:rStyle w:val="h-select-all"/>
                <w:rFonts w:eastAsiaTheme="minorHAnsi"/>
                <w:bCs w:val="0"/>
                <w:i/>
                <w:kern w:val="0"/>
                <w:sz w:val="28"/>
                <w:szCs w:val="28"/>
                <w:bdr w:val="none" w:sz="0" w:space="0" w:color="auto" w:frame="1"/>
                <w:lang w:val="uk-UA" w:eastAsia="en-US"/>
              </w:rPr>
            </w:pPr>
            <w:r w:rsidRPr="00B4353B">
              <w:rPr>
                <w:rStyle w:val="h-select-all"/>
                <w:rFonts w:eastAsiaTheme="minorHAnsi"/>
                <w:bCs w:val="0"/>
                <w:i/>
                <w:kern w:val="0"/>
                <w:sz w:val="28"/>
                <w:szCs w:val="28"/>
                <w:bdr w:val="none" w:sz="0" w:space="0" w:color="auto" w:frame="1"/>
                <w:lang w:val="uk-UA" w:eastAsia="en-US"/>
              </w:rPr>
              <w:t>Прилади збору/передачі даних</w:t>
            </w:r>
            <w:r w:rsidR="00207306" w:rsidRPr="00B4353B">
              <w:rPr>
                <w:rStyle w:val="h-select-all"/>
                <w:rFonts w:eastAsiaTheme="minorHAnsi"/>
                <w:bCs w:val="0"/>
                <w:color w:val="333333"/>
                <w:kern w:val="0"/>
                <w:sz w:val="28"/>
                <w:szCs w:val="28"/>
                <w:bdr w:val="none" w:sz="0" w:space="0" w:color="auto" w:frame="1"/>
                <w:lang w:val="uk-UA" w:eastAsia="en-US"/>
              </w:rPr>
              <w:t xml:space="preserve">, </w:t>
            </w:r>
            <w:r w:rsidR="00B53229" w:rsidRPr="00B4353B">
              <w:rPr>
                <w:rStyle w:val="h-select-all"/>
                <w:rFonts w:eastAsiaTheme="minorHAnsi"/>
                <w:bCs w:val="0"/>
                <w:color w:val="333333"/>
                <w:kern w:val="0"/>
                <w:sz w:val="28"/>
                <w:szCs w:val="28"/>
                <w:bdr w:val="none" w:sz="0" w:space="0" w:color="auto" w:frame="1"/>
                <w:lang w:val="uk-UA" w:eastAsia="en-US"/>
              </w:rPr>
              <w:t xml:space="preserve">код за </w:t>
            </w:r>
            <w:r w:rsidR="00207306" w:rsidRPr="00B4353B">
              <w:rPr>
                <w:rStyle w:val="h-select-all"/>
                <w:rFonts w:eastAsiaTheme="minorHAnsi"/>
                <w:bCs w:val="0"/>
                <w:color w:val="333333"/>
                <w:kern w:val="0"/>
                <w:sz w:val="28"/>
                <w:szCs w:val="28"/>
                <w:bdr w:val="none" w:sz="0" w:space="0" w:color="auto" w:frame="1"/>
                <w:lang w:val="uk-UA" w:eastAsia="en-US"/>
              </w:rPr>
              <w:t xml:space="preserve"> </w:t>
            </w:r>
            <w:r w:rsidR="00B53229" w:rsidRPr="00B4353B">
              <w:rPr>
                <w:rStyle w:val="h-select-all"/>
                <w:rFonts w:eastAsiaTheme="minorHAnsi"/>
                <w:bCs w:val="0"/>
                <w:color w:val="333333"/>
                <w:kern w:val="0"/>
                <w:sz w:val="28"/>
                <w:szCs w:val="28"/>
                <w:bdr w:val="none" w:sz="0" w:space="0" w:color="auto" w:frame="1"/>
                <w:lang w:val="uk-UA" w:eastAsia="en-US"/>
              </w:rPr>
              <w:t>ДК 021:2015 «</w:t>
            </w:r>
            <w:r w:rsidRPr="00B4353B">
              <w:rPr>
                <w:rStyle w:val="h-select-all"/>
                <w:rFonts w:eastAsiaTheme="minorHAnsi"/>
                <w:bCs w:val="0"/>
                <w:i/>
                <w:color w:val="333333"/>
                <w:kern w:val="0"/>
                <w:sz w:val="28"/>
                <w:szCs w:val="28"/>
                <w:lang w:val="uk-UA" w:eastAsia="en-US"/>
              </w:rPr>
              <w:t>32260000-3»</w:t>
            </w:r>
            <w:r w:rsidRPr="00B4353B">
              <w:rPr>
                <w:rStyle w:val="h-select-all"/>
                <w:rFonts w:eastAsiaTheme="minorHAnsi"/>
                <w:bCs w:val="0"/>
                <w:i/>
                <w:color w:val="333333"/>
                <w:kern w:val="0"/>
                <w:sz w:val="28"/>
                <w:szCs w:val="28"/>
                <w:bdr w:val="none" w:sz="0" w:space="0" w:color="auto" w:frame="1"/>
                <w:lang w:val="uk-UA" w:eastAsia="en-US"/>
              </w:rPr>
              <w:t> </w:t>
            </w:r>
            <w:r w:rsidRPr="00B4353B">
              <w:rPr>
                <w:rStyle w:val="h-select-all"/>
                <w:rFonts w:eastAsiaTheme="minorHAnsi"/>
                <w:bCs w:val="0"/>
                <w:i/>
                <w:color w:val="333333"/>
                <w:kern w:val="0"/>
                <w:sz w:val="28"/>
                <w:szCs w:val="28"/>
                <w:lang w:val="uk-UA" w:eastAsia="en-US"/>
              </w:rPr>
              <w:t>Обладнання для передавання даних</w:t>
            </w:r>
          </w:p>
        </w:tc>
      </w:tr>
      <w:tr w:rsidR="00C12F20" w:rsidRPr="00B4353B" w:rsidTr="00C12F20">
        <w:tc>
          <w:tcPr>
            <w:tcW w:w="2802" w:type="dxa"/>
          </w:tcPr>
          <w:p w:rsidR="00C12F20" w:rsidRPr="00B4353B" w:rsidRDefault="00C12F20" w:rsidP="00C12F20">
            <w:pPr>
              <w:rPr>
                <w:rFonts w:ascii="Times New Roman" w:hAnsi="Times New Roman" w:cs="Times New Roman"/>
                <w:sz w:val="24"/>
                <w:szCs w:val="24"/>
                <w:lang w:val="uk-UA"/>
              </w:rPr>
            </w:pPr>
            <w:r w:rsidRPr="00B4353B">
              <w:rPr>
                <w:rFonts w:ascii="Times New Roman" w:hAnsi="Times New Roman" w:cs="Times New Roman"/>
                <w:sz w:val="24"/>
                <w:szCs w:val="24"/>
                <w:lang w:val="uk-UA"/>
              </w:rPr>
              <w:t>ID закупівлі</w:t>
            </w:r>
          </w:p>
          <w:p w:rsidR="00C12F20" w:rsidRPr="00B4353B" w:rsidRDefault="00C12F20">
            <w:pPr>
              <w:rPr>
                <w:rFonts w:ascii="Times New Roman" w:hAnsi="Times New Roman" w:cs="Times New Roman"/>
                <w:sz w:val="24"/>
                <w:szCs w:val="24"/>
                <w:lang w:val="uk-UA"/>
              </w:rPr>
            </w:pPr>
          </w:p>
        </w:tc>
        <w:tc>
          <w:tcPr>
            <w:tcW w:w="6769" w:type="dxa"/>
          </w:tcPr>
          <w:p w:rsidR="00C12F20" w:rsidRPr="00B4353B" w:rsidRDefault="00DD4E41" w:rsidP="00C12F20">
            <w:pPr>
              <w:ind w:left="33"/>
              <w:jc w:val="both"/>
              <w:rPr>
                <w:rFonts w:ascii="Times New Roman" w:eastAsia="Times New Roman" w:hAnsi="Times New Roman" w:cs="Times New Roman"/>
                <w:i/>
                <w:color w:val="000000"/>
                <w:sz w:val="24"/>
                <w:szCs w:val="24"/>
                <w:lang w:val="uk-UA" w:eastAsia="ru-RU"/>
              </w:rPr>
            </w:pPr>
            <w:r w:rsidRPr="00B4353B">
              <w:rPr>
                <w:rFonts w:ascii="Times New Roman" w:hAnsi="Times New Roman" w:cs="Times New Roman"/>
                <w:b/>
                <w:i/>
                <w:sz w:val="24"/>
                <w:szCs w:val="24"/>
                <w:lang w:val="uk-UA" w:eastAsia="ru-RU"/>
              </w:rPr>
              <w:t>ID</w:t>
            </w:r>
            <w:r w:rsidRPr="00B4353B">
              <w:rPr>
                <w:rStyle w:val="h-select-all"/>
                <w:rFonts w:ascii="Times New Roman" w:hAnsi="Times New Roman" w:cs="Times New Roman"/>
                <w:color w:val="333333"/>
                <w:sz w:val="28"/>
                <w:szCs w:val="28"/>
                <w:lang w:val="uk-UA"/>
              </w:rPr>
              <w:t>: </w:t>
            </w:r>
            <w:r w:rsidR="00EE3FDE" w:rsidRPr="00B4353B">
              <w:rPr>
                <w:rStyle w:val="h-select-all"/>
                <w:rFonts w:ascii="Times New Roman" w:hAnsi="Times New Roman" w:cs="Times New Roman"/>
                <w:b/>
                <w:i/>
                <w:sz w:val="28"/>
                <w:szCs w:val="28"/>
                <w:lang w:val="uk-UA"/>
              </w:rPr>
              <w:t>UA-2023-05-10-013665-a</w:t>
            </w:r>
          </w:p>
        </w:tc>
      </w:tr>
      <w:tr w:rsidR="00C12F20" w:rsidRPr="00B4353B" w:rsidTr="00C12F20">
        <w:tc>
          <w:tcPr>
            <w:tcW w:w="2802" w:type="dxa"/>
          </w:tcPr>
          <w:p w:rsidR="00C12F20" w:rsidRPr="00B4353B" w:rsidRDefault="00C12F20" w:rsidP="00C12F20">
            <w:pPr>
              <w:rPr>
                <w:rFonts w:ascii="Times New Roman" w:hAnsi="Times New Roman" w:cs="Times New Roman"/>
                <w:sz w:val="24"/>
                <w:szCs w:val="24"/>
                <w:lang w:val="uk-UA"/>
              </w:rPr>
            </w:pPr>
            <w:r w:rsidRPr="00B4353B">
              <w:rPr>
                <w:rFonts w:ascii="Times New Roman" w:hAnsi="Times New Roman" w:cs="Times New Roman"/>
                <w:sz w:val="24"/>
                <w:szCs w:val="24"/>
                <w:lang w:val="uk-UA"/>
              </w:rPr>
              <w:t>Очікувана вартість</w:t>
            </w:r>
            <w:r w:rsidR="00345CD9" w:rsidRPr="00B4353B">
              <w:rPr>
                <w:rFonts w:ascii="Times New Roman" w:hAnsi="Times New Roman" w:cs="Times New Roman"/>
                <w:sz w:val="24"/>
                <w:szCs w:val="24"/>
                <w:lang w:val="uk-UA"/>
              </w:rPr>
              <w:t xml:space="preserve"> предмета закупівлі </w:t>
            </w:r>
          </w:p>
        </w:tc>
        <w:tc>
          <w:tcPr>
            <w:tcW w:w="6769" w:type="dxa"/>
          </w:tcPr>
          <w:p w:rsidR="00C12F20" w:rsidRPr="00B4353B" w:rsidRDefault="00EE3FDE" w:rsidP="00B53229">
            <w:pPr>
              <w:ind w:left="33"/>
              <w:rPr>
                <w:rFonts w:ascii="Times New Roman" w:eastAsia="Times New Roman" w:hAnsi="Times New Roman" w:cs="Times New Roman"/>
                <w:b/>
                <w:i/>
                <w:color w:val="000000"/>
                <w:sz w:val="24"/>
                <w:szCs w:val="24"/>
                <w:lang w:val="uk-UA" w:eastAsia="ru-RU"/>
              </w:rPr>
            </w:pPr>
            <w:r w:rsidRPr="00B4353B">
              <w:rPr>
                <w:rFonts w:ascii="Times New Roman" w:hAnsi="Times New Roman" w:cs="Times New Roman"/>
                <w:b/>
                <w:i/>
                <w:sz w:val="24"/>
                <w:szCs w:val="24"/>
                <w:lang w:val="uk-UA" w:eastAsia="ru-RU"/>
              </w:rPr>
              <w:t>1 098 400</w:t>
            </w:r>
            <w:r w:rsidR="00B53229" w:rsidRPr="00B4353B">
              <w:rPr>
                <w:rFonts w:ascii="Times New Roman" w:hAnsi="Times New Roman" w:cs="Times New Roman"/>
                <w:b/>
                <w:i/>
                <w:sz w:val="24"/>
                <w:szCs w:val="24"/>
                <w:lang w:val="uk-UA" w:eastAsia="ru-RU"/>
              </w:rPr>
              <w:t>,00 грн.</w:t>
            </w:r>
          </w:p>
        </w:tc>
      </w:tr>
      <w:tr w:rsidR="00C12F20" w:rsidRPr="00B4353B" w:rsidTr="00C12F20">
        <w:tc>
          <w:tcPr>
            <w:tcW w:w="2802" w:type="dxa"/>
          </w:tcPr>
          <w:p w:rsidR="00C12F20" w:rsidRPr="00B4353B" w:rsidRDefault="00EE158C" w:rsidP="00C12F20">
            <w:pPr>
              <w:rPr>
                <w:rFonts w:ascii="Times New Roman" w:hAnsi="Times New Roman" w:cs="Times New Roman"/>
                <w:sz w:val="24"/>
                <w:szCs w:val="24"/>
                <w:lang w:val="uk-UA"/>
              </w:rPr>
            </w:pPr>
            <w:r w:rsidRPr="00B4353B">
              <w:rPr>
                <w:rFonts w:ascii="Times New Roman" w:hAnsi="Times New Roman" w:cs="Times New Roman"/>
                <w:sz w:val="24"/>
                <w:szCs w:val="24"/>
                <w:lang w:val="uk-UA"/>
              </w:rPr>
              <w:t>Обгрунтування розміру бюджетного фінансування</w:t>
            </w:r>
          </w:p>
        </w:tc>
        <w:tc>
          <w:tcPr>
            <w:tcW w:w="6769" w:type="dxa"/>
          </w:tcPr>
          <w:p w:rsidR="00C12F20" w:rsidRPr="00B4353B" w:rsidRDefault="00A8516F" w:rsidP="00C12F20">
            <w:pPr>
              <w:ind w:left="33"/>
              <w:jc w:val="both"/>
              <w:rPr>
                <w:rFonts w:ascii="Times New Roman" w:eastAsia="Times New Roman" w:hAnsi="Times New Roman" w:cs="Times New Roman"/>
                <w:color w:val="000000"/>
                <w:sz w:val="24"/>
                <w:szCs w:val="24"/>
                <w:lang w:val="uk-UA" w:eastAsia="ru-RU"/>
              </w:rPr>
            </w:pPr>
            <w:r w:rsidRPr="00B4353B">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345CD9" w:rsidRPr="00B4353B" w:rsidRDefault="00345CD9" w:rsidP="00C12F20">
            <w:pPr>
              <w:ind w:left="33"/>
              <w:jc w:val="both"/>
              <w:rPr>
                <w:rFonts w:ascii="Times New Roman" w:eastAsia="Times New Roman" w:hAnsi="Times New Roman" w:cs="Times New Roman"/>
                <w:color w:val="000000"/>
                <w:sz w:val="24"/>
                <w:szCs w:val="24"/>
                <w:lang w:val="uk-UA" w:eastAsia="ru-RU"/>
              </w:rPr>
            </w:pPr>
          </w:p>
        </w:tc>
      </w:tr>
      <w:tr w:rsidR="00C12F20" w:rsidRPr="00B4353B" w:rsidTr="00C12F20">
        <w:tc>
          <w:tcPr>
            <w:tcW w:w="2802" w:type="dxa"/>
          </w:tcPr>
          <w:p w:rsidR="00C12F20" w:rsidRPr="00B4353B" w:rsidRDefault="00C12F20" w:rsidP="00C12F20">
            <w:pPr>
              <w:shd w:val="clear" w:color="auto" w:fill="FFFFFF"/>
              <w:textAlignment w:val="baseline"/>
              <w:outlineLvl w:val="0"/>
              <w:rPr>
                <w:rFonts w:ascii="Times New Roman" w:hAnsi="Times New Roman" w:cs="Times New Roman"/>
                <w:sz w:val="24"/>
                <w:szCs w:val="24"/>
                <w:lang w:val="uk-UA"/>
              </w:rPr>
            </w:pPr>
            <w:r w:rsidRPr="00B4353B">
              <w:rPr>
                <w:rFonts w:ascii="Times New Roman" w:hAnsi="Times New Roman" w:cs="Times New Roman"/>
                <w:sz w:val="24"/>
                <w:szCs w:val="24"/>
                <w:lang w:val="uk-UA"/>
              </w:rPr>
              <w:t>Обґрунтування технічних та якісних характеристик предмета закупівлі</w:t>
            </w:r>
          </w:p>
          <w:p w:rsidR="00C12F20" w:rsidRPr="00B4353B" w:rsidRDefault="00C12F20" w:rsidP="00C12F20">
            <w:pPr>
              <w:rPr>
                <w:rFonts w:ascii="Times New Roman" w:hAnsi="Times New Roman" w:cs="Times New Roman"/>
                <w:sz w:val="24"/>
                <w:szCs w:val="24"/>
                <w:lang w:val="uk-UA"/>
              </w:rPr>
            </w:pPr>
          </w:p>
        </w:tc>
        <w:tc>
          <w:tcPr>
            <w:tcW w:w="6769" w:type="dxa"/>
          </w:tcPr>
          <w:p w:rsidR="007E7729" w:rsidRPr="00B4353B" w:rsidRDefault="007E7729" w:rsidP="00A3710E">
            <w:pPr>
              <w:ind w:firstLine="851"/>
              <w:jc w:val="both"/>
              <w:rPr>
                <w:rFonts w:ascii="Times New Roman" w:hAnsi="Times New Roman" w:cs="Times New Roman"/>
                <w:lang w:val="uk-UA"/>
              </w:rPr>
            </w:pPr>
            <w:r w:rsidRPr="00B4353B">
              <w:rPr>
                <w:rFonts w:ascii="Times New Roman" w:hAnsi="Times New Roman" w:cs="Times New Roman"/>
                <w:lang w:val="uk-UA"/>
              </w:rPr>
              <w:t>Для забезпечення оперативного та безперебійного збору даних споживання енергоресурсів на підприємстві, та аналізу основних параметрів тепломережі, необхідна організація передачі даних від приладів «Ергомера» та лічильників електроенергії встановлених на котельних та ТРП підприємства. Зважаючи на особливості існуючої автоматизованої системи енергетичного менеджменту (АСЕМ), конструктивних особливостей існуючих приладів, кліматичних умов та віддаленість об’єктів підприємства одне від одного, пристрої збору та передачі даних повинні відповідати наступним параметрам:</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підтримка роботи з MQTT-брокерами, підтримка QoS (якості обслуговування) на рівні 1 або 2;</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підтримка бездротового протоколу Wi-Fi;</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наявність інтерфейсу RS232;</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напруга живлення від мережі AC від 124</w:t>
            </w:r>
            <w:r w:rsidR="006D1770" w:rsidRPr="00B4353B">
              <w:rPr>
                <w:rFonts w:ascii="Times New Roman" w:hAnsi="Times New Roman"/>
              </w:rPr>
              <w:t xml:space="preserve"> </w:t>
            </w:r>
            <w:r w:rsidRPr="00B4353B">
              <w:rPr>
                <w:rFonts w:ascii="Times New Roman" w:hAnsi="Times New Roman"/>
              </w:rPr>
              <w:t>В до 247</w:t>
            </w:r>
            <w:r w:rsidR="006D1770" w:rsidRPr="00B4353B">
              <w:rPr>
                <w:rFonts w:ascii="Times New Roman" w:hAnsi="Times New Roman"/>
              </w:rPr>
              <w:t xml:space="preserve"> </w:t>
            </w:r>
            <w:r w:rsidRPr="00B4353B">
              <w:rPr>
                <w:rFonts w:ascii="Times New Roman" w:hAnsi="Times New Roman"/>
              </w:rPr>
              <w:t>В, частота 50</w:t>
            </w:r>
            <w:r w:rsidR="006D1770" w:rsidRPr="00B4353B">
              <w:rPr>
                <w:rFonts w:ascii="Times New Roman" w:hAnsi="Times New Roman"/>
              </w:rPr>
              <w:t xml:space="preserve"> </w:t>
            </w:r>
            <w:r w:rsidRPr="00B4353B">
              <w:rPr>
                <w:rFonts w:ascii="Times New Roman" w:hAnsi="Times New Roman"/>
              </w:rPr>
              <w:t>Гц;</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роз’єм антени SMA;</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напруга живлення від БЖ DC 12</w:t>
            </w:r>
            <w:r w:rsidR="006D1770" w:rsidRPr="00B4353B">
              <w:rPr>
                <w:rFonts w:ascii="Times New Roman" w:hAnsi="Times New Roman"/>
              </w:rPr>
              <w:t xml:space="preserve"> </w:t>
            </w:r>
            <w:r w:rsidRPr="00B4353B">
              <w:rPr>
                <w:rFonts w:ascii="Times New Roman" w:hAnsi="Times New Roman"/>
              </w:rPr>
              <w:t>В;</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споживана потужність не більше 5</w:t>
            </w:r>
            <w:r w:rsidR="006D1770" w:rsidRPr="00B4353B">
              <w:rPr>
                <w:rFonts w:ascii="Times New Roman" w:hAnsi="Times New Roman"/>
              </w:rPr>
              <w:t xml:space="preserve"> </w:t>
            </w:r>
            <w:r w:rsidRPr="00B4353B">
              <w:rPr>
                <w:rFonts w:ascii="Times New Roman" w:hAnsi="Times New Roman"/>
              </w:rPr>
              <w:t>Вт;</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можливість віддаленого керування пристроєм зв’язку;</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наявність індикації роботи пристрою зв’язку;</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 xml:space="preserve">межі робочої температури від -30 </w:t>
            </w:r>
            <w:r w:rsidRPr="00B4353B">
              <w:rPr>
                <w:rFonts w:ascii="Times New Roman" w:hAnsi="Times New Roman"/>
              </w:rPr>
              <w:sym w:font="Symbol" w:char="F0B0"/>
            </w:r>
            <w:r w:rsidR="006D1770" w:rsidRPr="00B4353B">
              <w:rPr>
                <w:rFonts w:ascii="Times New Roman" w:hAnsi="Times New Roman"/>
              </w:rPr>
              <w:t>С до +50 </w:t>
            </w:r>
            <w:r w:rsidRPr="00B4353B">
              <w:rPr>
                <w:rFonts w:ascii="Times New Roman" w:hAnsi="Times New Roman"/>
              </w:rPr>
              <w:sym w:font="Symbol" w:char="F0B0"/>
            </w:r>
            <w:r w:rsidRPr="00B4353B">
              <w:rPr>
                <w:rFonts w:ascii="Times New Roman" w:hAnsi="Times New Roman"/>
              </w:rPr>
              <w:t>С;</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вага не більше 1 кг;</w:t>
            </w:r>
          </w:p>
          <w:p w:rsidR="007E7729" w:rsidRPr="00B4353B" w:rsidRDefault="007E7729" w:rsidP="00A3710E">
            <w:pPr>
              <w:pStyle w:val="a5"/>
              <w:numPr>
                <w:ilvl w:val="0"/>
                <w:numId w:val="1"/>
              </w:numPr>
              <w:spacing w:after="160" w:line="259" w:lineRule="auto"/>
              <w:ind w:firstLine="851"/>
              <w:jc w:val="both"/>
              <w:rPr>
                <w:rFonts w:ascii="Times New Roman" w:hAnsi="Times New Roman"/>
              </w:rPr>
            </w:pPr>
            <w:r w:rsidRPr="00B4353B">
              <w:rPr>
                <w:rFonts w:ascii="Times New Roman" w:hAnsi="Times New Roman"/>
              </w:rPr>
              <w:t>час напрацювання на відмову не менше ніж 50 тис. годин.</w:t>
            </w:r>
          </w:p>
          <w:p w:rsidR="00C12F20" w:rsidRPr="00B4353B" w:rsidRDefault="007E7729" w:rsidP="00A3710E">
            <w:pPr>
              <w:jc w:val="both"/>
              <w:rPr>
                <w:rFonts w:ascii="Times New Roman" w:eastAsia="Times New Roman" w:hAnsi="Times New Roman" w:cs="Times New Roman"/>
                <w:color w:val="000000"/>
                <w:lang w:val="uk-UA" w:eastAsia="ru-RU"/>
              </w:rPr>
            </w:pPr>
            <w:r w:rsidRPr="00B4353B">
              <w:rPr>
                <w:rFonts w:ascii="Times New Roman" w:hAnsi="Times New Roman" w:cs="Times New Roman"/>
                <w:lang w:val="uk-UA"/>
              </w:rPr>
              <w:t>Встановлення необхідних приладів збору та передачі даних, дозволить своєчасно та в повному обсязі отримувати інформацію з первинних приладів обліку енергетичних ресурсів на підприємстві для подальшого аналізу та оперативного реагування на зміни в процесі виробництва та розподілу теплової енергії. Це в свою чергу призведе до зменшення витрат та попередження чи своєчасного виявлення нештатних ситуацій.</w:t>
            </w:r>
          </w:p>
        </w:tc>
      </w:tr>
      <w:tr w:rsidR="00C12F20" w:rsidRPr="00DD565C" w:rsidTr="00C12F20">
        <w:tc>
          <w:tcPr>
            <w:tcW w:w="2802" w:type="dxa"/>
          </w:tcPr>
          <w:p w:rsidR="00C12F20" w:rsidRPr="00B4353B" w:rsidRDefault="00C12F20" w:rsidP="00104E3D">
            <w:pPr>
              <w:shd w:val="clear" w:color="auto" w:fill="FFFFFF"/>
              <w:textAlignment w:val="baseline"/>
              <w:outlineLvl w:val="0"/>
              <w:rPr>
                <w:rFonts w:ascii="Times New Roman" w:hAnsi="Times New Roman" w:cs="Times New Roman"/>
                <w:sz w:val="24"/>
                <w:szCs w:val="24"/>
                <w:lang w:val="uk-UA"/>
              </w:rPr>
            </w:pPr>
            <w:r w:rsidRPr="00B4353B">
              <w:rPr>
                <w:rFonts w:ascii="Times New Roman" w:hAnsi="Times New Roman" w:cs="Times New Roman"/>
                <w:sz w:val="24"/>
                <w:szCs w:val="24"/>
                <w:lang w:val="uk-UA"/>
              </w:rPr>
              <w:t>Обґрунтування очікуваної вартості предмета закупівлі</w:t>
            </w:r>
          </w:p>
        </w:tc>
        <w:tc>
          <w:tcPr>
            <w:tcW w:w="6769" w:type="dxa"/>
          </w:tcPr>
          <w:p w:rsidR="00027BA0" w:rsidRPr="00B4353B" w:rsidRDefault="00C12F20" w:rsidP="00B53229">
            <w:pPr>
              <w:ind w:left="33"/>
              <w:jc w:val="both"/>
              <w:rPr>
                <w:rStyle w:val="a4"/>
                <w:rFonts w:ascii="Times New Roman" w:hAnsi="Times New Roman" w:cs="Times New Roman"/>
                <w:color w:val="00A1CD"/>
                <w:sz w:val="24"/>
                <w:szCs w:val="24"/>
                <w:lang w:val="uk-UA"/>
              </w:rPr>
            </w:pPr>
            <w:r w:rsidRPr="00B4353B">
              <w:rPr>
                <w:rFonts w:ascii="Times New Roman" w:eastAsia="Times New Roman" w:hAnsi="Times New Roman" w:cs="Times New Roman"/>
                <w:color w:val="000000"/>
                <w:sz w:val="24"/>
                <w:szCs w:val="24"/>
                <w:lang w:val="uk-UA" w:eastAsia="ru-RU"/>
              </w:rPr>
              <w:t>Очікувана вартість предмета закупівлі даної про</w:t>
            </w:r>
            <w:r w:rsidR="00345CD9" w:rsidRPr="00B4353B">
              <w:rPr>
                <w:rFonts w:ascii="Times New Roman" w:eastAsia="Times New Roman" w:hAnsi="Times New Roman" w:cs="Times New Roman"/>
                <w:color w:val="000000"/>
                <w:sz w:val="24"/>
                <w:szCs w:val="24"/>
                <w:lang w:val="uk-UA" w:eastAsia="ru-RU"/>
              </w:rPr>
              <w:t xml:space="preserve">цедури </w:t>
            </w:r>
            <w:r w:rsidR="00104E3D" w:rsidRPr="00B4353B">
              <w:rPr>
                <w:rFonts w:ascii="Times New Roman" w:eastAsia="Times New Roman" w:hAnsi="Times New Roman" w:cs="Times New Roman"/>
                <w:color w:val="000000"/>
                <w:sz w:val="24"/>
                <w:szCs w:val="24"/>
                <w:lang w:val="uk-UA" w:eastAsia="ru-RU"/>
              </w:rPr>
              <w:t xml:space="preserve">зазначена з урахуванням </w:t>
            </w:r>
            <w:r w:rsidR="00B53229" w:rsidRPr="00B4353B">
              <w:rPr>
                <w:rFonts w:ascii="Times New Roman" w:eastAsia="Times New Roman" w:hAnsi="Times New Roman" w:cs="Times New Roman"/>
                <w:color w:val="000000"/>
                <w:sz w:val="24"/>
                <w:szCs w:val="24"/>
                <w:lang w:val="uk-UA" w:eastAsia="ru-RU"/>
              </w:rPr>
              <w:t>отриманих комерційних пропозицій ймовірних виконавців роботи.</w:t>
            </w:r>
            <w:r w:rsidR="00DD565C">
              <w:rPr>
                <w:rFonts w:ascii="Times New Roman" w:eastAsia="Times New Roman" w:hAnsi="Times New Roman" w:cs="Times New Roman"/>
                <w:color w:val="000000"/>
                <w:sz w:val="24"/>
                <w:szCs w:val="24"/>
                <w:lang w:val="uk-UA" w:eastAsia="ru-RU"/>
              </w:rPr>
              <w:t>постачальників.</w:t>
            </w:r>
          </w:p>
        </w:tc>
      </w:tr>
    </w:tbl>
    <w:p w:rsidR="006238E7" w:rsidRPr="00B4353B" w:rsidRDefault="00211ED8">
      <w:pPr>
        <w:rPr>
          <w:rFonts w:ascii="Times New Roman" w:hAnsi="Times New Roman" w:cs="Times New Roman"/>
          <w:lang w:val="uk-UA"/>
        </w:rPr>
      </w:pPr>
    </w:p>
    <w:sectPr w:rsidR="006238E7" w:rsidRPr="00B4353B" w:rsidSect="00104E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1738"/>
    <w:multiLevelType w:val="hybridMultilevel"/>
    <w:tmpl w:val="E0863818"/>
    <w:lvl w:ilvl="0" w:tplc="20000001">
      <w:start w:val="1"/>
      <w:numFmt w:val="bullet"/>
      <w:lvlText w:val=""/>
      <w:lvlJc w:val="left"/>
      <w:pPr>
        <w:ind w:left="644" w:hanging="360"/>
      </w:pPr>
      <w:rPr>
        <w:rFonts w:ascii="Symbol" w:hAnsi="Symbol"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0"/>
    <w:rsid w:val="00027BA0"/>
    <w:rsid w:val="00104E3D"/>
    <w:rsid w:val="00153A0E"/>
    <w:rsid w:val="00207306"/>
    <w:rsid w:val="00211ED8"/>
    <w:rsid w:val="0021725A"/>
    <w:rsid w:val="00345CD9"/>
    <w:rsid w:val="004054CA"/>
    <w:rsid w:val="00470ACA"/>
    <w:rsid w:val="005473A1"/>
    <w:rsid w:val="00576091"/>
    <w:rsid w:val="00607F67"/>
    <w:rsid w:val="006D1770"/>
    <w:rsid w:val="007066CF"/>
    <w:rsid w:val="007D5123"/>
    <w:rsid w:val="007E7729"/>
    <w:rsid w:val="00987965"/>
    <w:rsid w:val="00987B48"/>
    <w:rsid w:val="00A3710E"/>
    <w:rsid w:val="00A47909"/>
    <w:rsid w:val="00A8516F"/>
    <w:rsid w:val="00B4353B"/>
    <w:rsid w:val="00B53229"/>
    <w:rsid w:val="00BB1871"/>
    <w:rsid w:val="00BE1909"/>
    <w:rsid w:val="00C12F20"/>
    <w:rsid w:val="00C34828"/>
    <w:rsid w:val="00C8059A"/>
    <w:rsid w:val="00D97BF2"/>
    <w:rsid w:val="00DD4E41"/>
    <w:rsid w:val="00DD565C"/>
    <w:rsid w:val="00EC2DBD"/>
    <w:rsid w:val="00EE158C"/>
    <w:rsid w:val="00EE3FDE"/>
    <w:rsid w:val="00EF2C66"/>
    <w:rsid w:val="00F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F78A-CE91-46C1-B56F-3838CA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5"/>
  </w:style>
  <w:style w:type="paragraph" w:styleId="1">
    <w:name w:val="heading 1"/>
    <w:basedOn w:val="a"/>
    <w:link w:val="10"/>
    <w:uiPriority w:val="9"/>
    <w:qFormat/>
    <w:rsid w:val="00C1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2F20"/>
    <w:rPr>
      <w:color w:val="0000FF"/>
      <w:u w:val="single"/>
    </w:rPr>
  </w:style>
  <w:style w:type="character" w:customStyle="1" w:styleId="10">
    <w:name w:val="Заголовок 1 Знак"/>
    <w:basedOn w:val="a0"/>
    <w:link w:val="1"/>
    <w:uiPriority w:val="9"/>
    <w:rsid w:val="00C12F20"/>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12F20"/>
    <w:pPr>
      <w:ind w:left="720"/>
      <w:contextualSpacing/>
    </w:pPr>
    <w:rPr>
      <w:rFonts w:ascii="Calibri" w:eastAsia="Calibri" w:hAnsi="Calibri" w:cs="Times New Roman"/>
      <w:lang w:val="uk-UA"/>
    </w:rPr>
  </w:style>
  <w:style w:type="character" w:customStyle="1" w:styleId="tendertuid2nhc4">
    <w:name w:val="tender__tuid__2nhc4"/>
    <w:basedOn w:val="a0"/>
    <w:rsid w:val="00DD4E41"/>
  </w:style>
  <w:style w:type="character" w:customStyle="1" w:styleId="qaclassifiertype">
    <w:name w:val="qa_classifier_type"/>
    <w:basedOn w:val="a0"/>
    <w:rsid w:val="00B53229"/>
  </w:style>
  <w:style w:type="character" w:customStyle="1" w:styleId="qaclassifierdk">
    <w:name w:val="qa_classifier_dk"/>
    <w:basedOn w:val="a0"/>
    <w:rsid w:val="00B53229"/>
  </w:style>
  <w:style w:type="character" w:customStyle="1" w:styleId="qaclassifierdescr">
    <w:name w:val="qa_classifier_descr"/>
    <w:basedOn w:val="a0"/>
    <w:rsid w:val="00B53229"/>
  </w:style>
  <w:style w:type="character" w:customStyle="1" w:styleId="qaclassifierdescrcode">
    <w:name w:val="qa_classifier_descr_code"/>
    <w:basedOn w:val="a0"/>
    <w:rsid w:val="00B53229"/>
  </w:style>
  <w:style w:type="character" w:customStyle="1" w:styleId="qaclassifierdescrprimary">
    <w:name w:val="qa_classifier_descr_primary"/>
    <w:basedOn w:val="a0"/>
    <w:rsid w:val="00B53229"/>
  </w:style>
  <w:style w:type="character" w:customStyle="1" w:styleId="h-select-all">
    <w:name w:val="h-select-all"/>
    <w:basedOn w:val="a0"/>
    <w:rsid w:val="00B5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8568">
      <w:bodyDiv w:val="1"/>
      <w:marLeft w:val="0"/>
      <w:marRight w:val="0"/>
      <w:marTop w:val="0"/>
      <w:marBottom w:val="0"/>
      <w:divBdr>
        <w:top w:val="none" w:sz="0" w:space="0" w:color="auto"/>
        <w:left w:val="none" w:sz="0" w:space="0" w:color="auto"/>
        <w:bottom w:val="none" w:sz="0" w:space="0" w:color="auto"/>
        <w:right w:val="none" w:sz="0" w:space="0" w:color="auto"/>
      </w:divBdr>
    </w:div>
    <w:div w:id="1755126461">
      <w:bodyDiv w:val="1"/>
      <w:marLeft w:val="0"/>
      <w:marRight w:val="0"/>
      <w:marTop w:val="0"/>
      <w:marBottom w:val="0"/>
      <w:divBdr>
        <w:top w:val="none" w:sz="0" w:space="0" w:color="auto"/>
        <w:left w:val="none" w:sz="0" w:space="0" w:color="auto"/>
        <w:bottom w:val="none" w:sz="0" w:space="0" w:color="auto"/>
        <w:right w:val="none" w:sz="0" w:space="0" w:color="auto"/>
      </w:divBdr>
    </w:div>
    <w:div w:id="17849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yanchik</dc:creator>
  <cp:lastModifiedBy>Лика З. Данелия</cp:lastModifiedBy>
  <cp:revision>2</cp:revision>
  <dcterms:created xsi:type="dcterms:W3CDTF">2023-05-23T05:53:00Z</dcterms:created>
  <dcterms:modified xsi:type="dcterms:W3CDTF">2023-05-23T05:53:00Z</dcterms:modified>
</cp:coreProperties>
</file>