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2518"/>
        <w:gridCol w:w="7406"/>
      </w:tblGrid>
      <w:tr w:rsidR="00C12F20" w:rsidRPr="00C8335D" w:rsidTr="005246D5">
        <w:tc>
          <w:tcPr>
            <w:tcW w:w="2518" w:type="dxa"/>
          </w:tcPr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7406" w:type="dxa"/>
          </w:tcPr>
          <w:p w:rsidR="00C12F20" w:rsidRPr="0091571A" w:rsidRDefault="00E51FC1" w:rsidP="0091571A">
            <w:pPr>
              <w:jc w:val="both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val="uk-UA" w:eastAsia="ru-RU"/>
              </w:rPr>
            </w:pPr>
            <w:hyperlink r:id="rId6" w:history="1">
              <w:r w:rsidR="0091571A" w:rsidRPr="0091571A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val="uk-UA" w:eastAsia="ru-RU"/>
                </w:rPr>
                <w:t xml:space="preserve">Капітальний ремонт водогрійного котла ПТВМ-100 ст. №1-7 та технічне переоснащення </w:t>
              </w:r>
              <w:proofErr w:type="spellStart"/>
              <w:r w:rsidR="0091571A" w:rsidRPr="0091571A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val="uk-UA" w:eastAsia="ru-RU"/>
                </w:rPr>
                <w:t>конвективної</w:t>
              </w:r>
              <w:proofErr w:type="spellEnd"/>
              <w:r w:rsidR="0091571A" w:rsidRPr="0091571A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val="uk-UA" w:eastAsia="ru-RU"/>
                </w:rPr>
                <w:t xml:space="preserve"> частини з виготовленням проектної документації в котлотурбінному цеху АТ «Криворізька теплоцентраль» за </w:t>
              </w:r>
              <w:proofErr w:type="spellStart"/>
              <w:r w:rsidR="0091571A" w:rsidRPr="0091571A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val="uk-UA" w:eastAsia="ru-RU"/>
                </w:rPr>
                <w:t>адресою</w:t>
              </w:r>
              <w:proofErr w:type="spellEnd"/>
              <w:r w:rsidR="0091571A" w:rsidRPr="0091571A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val="uk-UA" w:eastAsia="ru-RU"/>
                </w:rPr>
                <w:t>: Дніпропетровська обл., м. Кривий Ріг, Покровський район, вул. Електрична, буд.1</w:t>
              </w:r>
            </w:hyperlink>
            <w:r w:rsidR="0091571A" w:rsidRPr="00915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, ДК 021:2015: 45453000-7 Капітальний ремонт і реставрація</w:t>
            </w:r>
          </w:p>
        </w:tc>
      </w:tr>
      <w:tr w:rsidR="00C12F20" w:rsidTr="005246D5">
        <w:tc>
          <w:tcPr>
            <w:tcW w:w="2518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6" w:type="dxa"/>
          </w:tcPr>
          <w:p w:rsidR="00C12F20" w:rsidRPr="00887CE6" w:rsidRDefault="00E03BAD" w:rsidP="00743F90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uk-UA" w:eastAsia="ru-RU"/>
              </w:rPr>
            </w:pPr>
            <w:r w:rsidRPr="002F1039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ID: </w:t>
            </w:r>
            <w:r w:rsidR="005246D5" w:rsidRPr="005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UA-</w:t>
            </w:r>
            <w:r w:rsidR="0074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2022-06-23-000480-</w:t>
            </w:r>
            <w:r w:rsidR="005246D5" w:rsidRPr="005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a</w:t>
            </w:r>
          </w:p>
        </w:tc>
      </w:tr>
      <w:tr w:rsidR="00C12F20" w:rsidRPr="00D53F5A" w:rsidTr="005246D5">
        <w:tc>
          <w:tcPr>
            <w:tcW w:w="2518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</w:t>
            </w:r>
            <w:r w:rsidR="00291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предмету закупівлі </w:t>
            </w:r>
          </w:p>
        </w:tc>
        <w:tc>
          <w:tcPr>
            <w:tcW w:w="7406" w:type="dxa"/>
          </w:tcPr>
          <w:p w:rsidR="00C12F20" w:rsidRPr="00C12F20" w:rsidRDefault="0091571A" w:rsidP="00291FB2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32 150 000</w:t>
            </w:r>
            <w:r w:rsidR="00D53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,0 грн. з ПДВ</w:t>
            </w:r>
          </w:p>
        </w:tc>
      </w:tr>
      <w:tr w:rsidR="00291FB2" w:rsidRPr="00D53F5A" w:rsidTr="005246D5">
        <w:tc>
          <w:tcPr>
            <w:tcW w:w="2518" w:type="dxa"/>
          </w:tcPr>
          <w:p w:rsidR="00291FB2" w:rsidRPr="00C12F20" w:rsidRDefault="00291FB2" w:rsidP="00484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7406" w:type="dxa"/>
          </w:tcPr>
          <w:p w:rsidR="00291FB2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291FB2" w:rsidRPr="00C12F20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91FB2" w:rsidRPr="00743F90" w:rsidTr="005246D5">
        <w:tc>
          <w:tcPr>
            <w:tcW w:w="2518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291FB2" w:rsidRPr="00C12F20" w:rsidRDefault="00291FB2" w:rsidP="00C1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</w:tcPr>
          <w:p w:rsidR="0091571A" w:rsidRPr="0091571A" w:rsidRDefault="0091571A" w:rsidP="0091571A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15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Відповідно до ГКД 34.20.661-2003 «Правила організації технічного обслуговування та ремонту обладнання, будівель і споруд електростанцій та мереж» (далі – Правила) ремонт основного та допоміжного обладнання </w:t>
            </w:r>
            <w:proofErr w:type="spellStart"/>
            <w:r w:rsidRPr="00915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котелень</w:t>
            </w:r>
            <w:proofErr w:type="spellEnd"/>
            <w:r w:rsidRPr="00915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підприємства передбачає виконання комплексу робіт, які проводяться з певною періодичністю і послідовністю, спрямованих на забезпечення справного стану обладнання, його надійної та економічної експлуатації. </w:t>
            </w:r>
          </w:p>
          <w:p w:rsidR="0091571A" w:rsidRPr="0091571A" w:rsidRDefault="0091571A" w:rsidP="0091571A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15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Пунктами 5.6.1.1, 5.6.1.2 «Технічна експлуатація електричних станцій і мереж. Правила» визначено, що на кожному </w:t>
            </w:r>
            <w:proofErr w:type="spellStart"/>
            <w:r w:rsidRPr="00915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енергооб’єкті</w:t>
            </w:r>
            <w:proofErr w:type="spellEnd"/>
            <w:r w:rsidRPr="00915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для забезпечення безпечної експлуатації, надійності та економічності роботи устаткування повинні бути організовані їхнє технічне обслуговування та ремонт. Обсяг і періодичність ремонтів устаткування повинні визначатися з умов забезпечення повного або часткового відновлення їхнього ресурсу відповідно до чинних нормативів, на підставі аналізу фактичного стану, обстеженням, діагностикою. </w:t>
            </w:r>
          </w:p>
          <w:p w:rsidR="0091571A" w:rsidRPr="0091571A" w:rsidRDefault="0091571A" w:rsidP="0091571A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15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Пунктами 5.6.1.9, 5.6.1.10 «Технічна експлуатація електричних станцій і мереж. Правила» визначено, що періодичність та тривалість усіх видів ремонту встановлюються, виходячи з планових обсягів робіт, визначених на підставі його фактичного стану. Капітальний ремонт основного устаткування </w:t>
            </w:r>
            <w:proofErr w:type="spellStart"/>
            <w:r w:rsidRPr="00915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енергооб’єктів</w:t>
            </w:r>
            <w:proofErr w:type="spellEnd"/>
            <w:r w:rsidRPr="00915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(котли) повинні проводитись в терміни за затвердженими у встановленому порядку графіками, але не пізніше ніж через 4 роки після введення в експлуатацію, а надалі – за необхідністю, залежно від часу напрацювання, технічного стану і результатів діагностування.</w:t>
            </w:r>
          </w:p>
          <w:p w:rsidR="0091571A" w:rsidRPr="0091571A" w:rsidRDefault="0091571A" w:rsidP="0091571A">
            <w:pPr>
              <w:spacing w:line="24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15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Внаслідок довготривалої експлуатації водогрійного котла ПТВМ-100 ст. №1-7 та висновків ультразвукової </w:t>
            </w:r>
            <w:proofErr w:type="spellStart"/>
            <w:r w:rsidRPr="00915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товщинометрії</w:t>
            </w:r>
            <w:proofErr w:type="spellEnd"/>
            <w:r w:rsidRPr="00915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№№ 41-22, 45-22 від 05.04.2022р, було виявлено, що відбулись накопичення дефектів та пошкоджень елементів трубної частини котла, поверхонь нагріву – </w:t>
            </w:r>
            <w:proofErr w:type="spellStart"/>
            <w:r w:rsidRPr="00915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конвективної</w:t>
            </w:r>
            <w:proofErr w:type="spellEnd"/>
            <w:r w:rsidRPr="00915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частини. </w:t>
            </w:r>
          </w:p>
          <w:p w:rsidR="00291FB2" w:rsidRPr="0091571A" w:rsidRDefault="0091571A" w:rsidP="0091571A">
            <w:pPr>
              <w:spacing w:line="24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15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Всі ці вищевказані фактори не можуть гарантувати сталу, надійну та безперебійну роботу КТЦ, що можуть призвести до припинення виробництва теплової енергії та забезпечення нею споживачів Покровського району міста. </w:t>
            </w:r>
          </w:p>
        </w:tc>
      </w:tr>
      <w:tr w:rsidR="00291FB2" w:rsidRPr="00887CE6" w:rsidTr="005246D5">
        <w:tc>
          <w:tcPr>
            <w:tcW w:w="2518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291FB2" w:rsidRPr="00C12F20" w:rsidRDefault="00291FB2" w:rsidP="00C12F20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6" w:type="dxa"/>
          </w:tcPr>
          <w:p w:rsidR="00291FB2" w:rsidRPr="00C12F20" w:rsidRDefault="00322932" w:rsidP="00A8413B">
            <w:pPr>
              <w:pStyle w:val="a6"/>
              <w:spacing w:before="136" w:beforeAutospacing="0"/>
              <w:jc w:val="both"/>
              <w:rPr>
                <w:rStyle w:val="a4"/>
                <w:color w:val="00A1CD"/>
                <w:lang w:val="uk-UA"/>
              </w:rPr>
            </w:pPr>
            <w:r w:rsidRPr="00286779">
              <w:rPr>
                <w:color w:val="000000"/>
                <w:lang w:val="uk-UA"/>
              </w:rPr>
              <w:t xml:space="preserve">Очікувана вартість </w:t>
            </w:r>
            <w:r w:rsidR="005246D5">
              <w:rPr>
                <w:color w:val="000000"/>
                <w:lang w:val="uk-UA"/>
              </w:rPr>
              <w:t xml:space="preserve">предмета закупівлі </w:t>
            </w:r>
            <w:r>
              <w:rPr>
                <w:color w:val="000000"/>
                <w:lang w:val="uk-UA"/>
              </w:rPr>
              <w:t>визначена</w:t>
            </w:r>
            <w:r w:rsidR="008E09CA">
              <w:rPr>
                <w:color w:val="000000"/>
                <w:lang w:val="uk-UA"/>
              </w:rPr>
              <w:t xml:space="preserve">, </w:t>
            </w:r>
            <w:r w:rsidRPr="00286779">
              <w:rPr>
                <w:color w:val="000000"/>
                <w:lang w:val="uk-UA"/>
              </w:rPr>
              <w:t xml:space="preserve">виходячи із </w:t>
            </w:r>
            <w:r>
              <w:rPr>
                <w:color w:val="000000"/>
                <w:lang w:val="uk-UA"/>
              </w:rPr>
              <w:t>отриманих комерційних пропозицій</w:t>
            </w:r>
            <w:r w:rsidR="00A8413B">
              <w:rPr>
                <w:color w:val="000000"/>
                <w:lang w:val="uk-UA"/>
              </w:rPr>
              <w:t>.</w:t>
            </w:r>
          </w:p>
        </w:tc>
      </w:tr>
    </w:tbl>
    <w:p w:rsidR="004845E2" w:rsidRPr="00503997" w:rsidRDefault="004845E2">
      <w:pPr>
        <w:rPr>
          <w:lang w:val="uk-UA"/>
        </w:rPr>
      </w:pPr>
    </w:p>
    <w:sectPr w:rsidR="004845E2" w:rsidRPr="00503997" w:rsidSect="0098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3A15"/>
    <w:multiLevelType w:val="hybridMultilevel"/>
    <w:tmpl w:val="DE08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508C"/>
    <w:multiLevelType w:val="hybridMultilevel"/>
    <w:tmpl w:val="67E6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B0C43"/>
    <w:multiLevelType w:val="hybridMultilevel"/>
    <w:tmpl w:val="99B8C2CA"/>
    <w:lvl w:ilvl="0" w:tplc="ED08FF6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20"/>
    <w:rsid w:val="000B0F00"/>
    <w:rsid w:val="000B5CEC"/>
    <w:rsid w:val="00112189"/>
    <w:rsid w:val="00112F41"/>
    <w:rsid w:val="00153A0E"/>
    <w:rsid w:val="00286779"/>
    <w:rsid w:val="00291FB2"/>
    <w:rsid w:val="00322932"/>
    <w:rsid w:val="00435EE2"/>
    <w:rsid w:val="004845E2"/>
    <w:rsid w:val="004F417A"/>
    <w:rsid w:val="00503997"/>
    <w:rsid w:val="005246D5"/>
    <w:rsid w:val="00576091"/>
    <w:rsid w:val="0061116A"/>
    <w:rsid w:val="00743F90"/>
    <w:rsid w:val="007D147F"/>
    <w:rsid w:val="00887CE6"/>
    <w:rsid w:val="008C0798"/>
    <w:rsid w:val="008E09CA"/>
    <w:rsid w:val="0091571A"/>
    <w:rsid w:val="00987965"/>
    <w:rsid w:val="00A35813"/>
    <w:rsid w:val="00A8413B"/>
    <w:rsid w:val="00AB09B0"/>
    <w:rsid w:val="00B6429B"/>
    <w:rsid w:val="00BB1871"/>
    <w:rsid w:val="00C02B29"/>
    <w:rsid w:val="00C12F20"/>
    <w:rsid w:val="00C4098F"/>
    <w:rsid w:val="00C8335D"/>
    <w:rsid w:val="00CC278D"/>
    <w:rsid w:val="00CE41AF"/>
    <w:rsid w:val="00D26E00"/>
    <w:rsid w:val="00D53F5A"/>
    <w:rsid w:val="00E03BAD"/>
    <w:rsid w:val="00E51FC1"/>
    <w:rsid w:val="00EC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5957B-2379-4A12-89AD-2FE8BCA3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65"/>
  </w:style>
  <w:style w:type="paragraph" w:styleId="1">
    <w:name w:val="heading 1"/>
    <w:basedOn w:val="a"/>
    <w:link w:val="10"/>
    <w:uiPriority w:val="9"/>
    <w:qFormat/>
    <w:rsid w:val="00C1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F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12F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12F20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291F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6">
    <w:name w:val="Normal (Web)"/>
    <w:basedOn w:val="a"/>
    <w:uiPriority w:val="99"/>
    <w:unhideWhenUsed/>
    <w:rsid w:val="0028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aclassifiertype">
    <w:name w:val="qa_classifier_type"/>
    <w:basedOn w:val="a0"/>
    <w:rsid w:val="005246D5"/>
  </w:style>
  <w:style w:type="character" w:customStyle="1" w:styleId="qaclassifierdk">
    <w:name w:val="qa_classifier_dk"/>
    <w:basedOn w:val="a0"/>
    <w:rsid w:val="005246D5"/>
  </w:style>
  <w:style w:type="character" w:customStyle="1" w:styleId="qaclassifierdescr">
    <w:name w:val="qa_classifier_descr"/>
    <w:basedOn w:val="a0"/>
    <w:rsid w:val="005246D5"/>
  </w:style>
  <w:style w:type="character" w:customStyle="1" w:styleId="qaclassifierdescrcode">
    <w:name w:val="qa_classifier_descr_code"/>
    <w:basedOn w:val="a0"/>
    <w:rsid w:val="005246D5"/>
  </w:style>
  <w:style w:type="character" w:customStyle="1" w:styleId="qaclassifierdescrprimary">
    <w:name w:val="qa_classifier_descr_primary"/>
    <w:basedOn w:val="a0"/>
    <w:rsid w:val="00524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y.zakupki.prom.ua/cabinet/purchases/state_purchase/view/364665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3EF7F-DAAA-4A5C-B02F-247A95FC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yanchik</dc:creator>
  <cp:lastModifiedBy>Лика З. Данелия</cp:lastModifiedBy>
  <cp:revision>2</cp:revision>
  <dcterms:created xsi:type="dcterms:W3CDTF">2022-08-29T10:17:00Z</dcterms:created>
  <dcterms:modified xsi:type="dcterms:W3CDTF">2022-08-29T10:17:00Z</dcterms:modified>
</cp:coreProperties>
</file>